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F61" w:rsidRDefault="00BE102E">
      <w:pPr>
        <w:widowControl/>
        <w:shd w:val="clear" w:color="auto" w:fill="FFFFFF"/>
        <w:ind w:firstLineChars="0" w:firstLine="85"/>
        <w:jc w:val="center"/>
        <w:rPr>
          <w:rFonts w:asciiTheme="majorEastAsia" w:eastAsiaTheme="majorEastAsia" w:hAnsiTheme="majorEastAsia" w:cstheme="majorEastAsia"/>
          <w:b/>
          <w:bCs/>
          <w:color w:val="333333"/>
          <w:kern w:val="0"/>
          <w:sz w:val="44"/>
          <w:szCs w:val="44"/>
        </w:rPr>
      </w:pPr>
      <w:r>
        <w:rPr>
          <w:rFonts w:asciiTheme="majorEastAsia" w:eastAsiaTheme="majorEastAsia" w:hAnsiTheme="majorEastAsia" w:cstheme="majorEastAsia" w:hint="eastAsia"/>
          <w:b/>
          <w:bCs/>
          <w:color w:val="333333"/>
          <w:kern w:val="0"/>
          <w:sz w:val="44"/>
          <w:szCs w:val="44"/>
        </w:rPr>
        <w:t>中国银监会关于印发银行业金融机构从业人员职业操守指引的通知</w:t>
      </w:r>
    </w:p>
    <w:p w:rsidR="00A80F61" w:rsidRDefault="00BE102E">
      <w:pPr>
        <w:widowControl/>
        <w:shd w:val="clear" w:color="auto" w:fill="FFFFFF"/>
        <w:ind w:firstLineChars="0" w:firstLine="85"/>
        <w:jc w:val="center"/>
        <w:rPr>
          <w:rFonts w:asciiTheme="majorEastAsia" w:eastAsiaTheme="majorEastAsia" w:hAnsiTheme="majorEastAsia" w:cstheme="majorEastAsia"/>
          <w:color w:val="333333"/>
          <w:kern w:val="0"/>
          <w:sz w:val="32"/>
          <w:szCs w:val="32"/>
        </w:rPr>
      </w:pPr>
      <w:r>
        <w:rPr>
          <w:rFonts w:asciiTheme="majorEastAsia" w:eastAsiaTheme="majorEastAsia" w:hAnsiTheme="majorEastAsia" w:cstheme="majorEastAsia" w:hint="eastAsia"/>
          <w:b/>
          <w:bCs/>
          <w:color w:val="333333"/>
          <w:kern w:val="0"/>
          <w:sz w:val="32"/>
          <w:szCs w:val="32"/>
        </w:rPr>
        <w:t>(</w:t>
      </w:r>
      <w:r>
        <w:rPr>
          <w:rFonts w:asciiTheme="majorEastAsia" w:eastAsiaTheme="majorEastAsia" w:hAnsiTheme="majorEastAsia" w:cstheme="majorEastAsia" w:hint="eastAsia"/>
          <w:b/>
          <w:bCs/>
          <w:color w:val="333333"/>
          <w:kern w:val="0"/>
          <w:sz w:val="32"/>
          <w:szCs w:val="32"/>
        </w:rPr>
        <w:t>银监发</w:t>
      </w:r>
      <w:r>
        <w:rPr>
          <w:rFonts w:asciiTheme="majorEastAsia" w:eastAsiaTheme="majorEastAsia" w:hAnsiTheme="majorEastAsia" w:cstheme="majorEastAsia" w:hint="eastAsia"/>
          <w:b/>
          <w:bCs/>
          <w:color w:val="333333"/>
          <w:kern w:val="0"/>
          <w:sz w:val="32"/>
          <w:szCs w:val="32"/>
        </w:rPr>
        <w:t>[2011]6</w:t>
      </w:r>
      <w:r>
        <w:rPr>
          <w:rFonts w:asciiTheme="majorEastAsia" w:eastAsiaTheme="majorEastAsia" w:hAnsiTheme="majorEastAsia" w:cstheme="majorEastAsia" w:hint="eastAsia"/>
          <w:b/>
          <w:bCs/>
          <w:color w:val="333333"/>
          <w:kern w:val="0"/>
          <w:sz w:val="32"/>
          <w:szCs w:val="32"/>
        </w:rPr>
        <w:t>号</w:t>
      </w:r>
      <w:r>
        <w:rPr>
          <w:rFonts w:asciiTheme="majorEastAsia" w:eastAsiaTheme="majorEastAsia" w:hAnsiTheme="majorEastAsia" w:cstheme="majorEastAsia" w:hint="eastAsia"/>
          <w:b/>
          <w:bCs/>
          <w:color w:val="333333"/>
          <w:kern w:val="0"/>
          <w:sz w:val="32"/>
          <w:szCs w:val="32"/>
        </w:rPr>
        <w:t>)</w:t>
      </w:r>
    </w:p>
    <w:p w:rsidR="00A80F61" w:rsidRDefault="00BE102E">
      <w:pPr>
        <w:widowControl/>
        <w:ind w:firstLineChars="0" w:firstLine="0"/>
        <w:jc w:val="left"/>
        <w:rPr>
          <w:rFonts w:ascii="微软雅黑" w:eastAsia="微软雅黑" w:hAnsi="微软雅黑" w:cs="宋体"/>
          <w:color w:val="333333"/>
          <w:kern w:val="0"/>
          <w:sz w:val="32"/>
          <w:szCs w:val="32"/>
        </w:rPr>
      </w:pPr>
      <w:r>
        <w:rPr>
          <w:rFonts w:asciiTheme="majorEastAsia" w:eastAsiaTheme="majorEastAsia" w:hAnsiTheme="majorEastAsia" w:cstheme="majorEastAsia" w:hint="eastAsia"/>
          <w:color w:val="333333"/>
          <w:kern w:val="0"/>
          <w:sz w:val="32"/>
          <w:szCs w:val="32"/>
        </w:rPr>
        <w:br/>
      </w:r>
      <w:r>
        <w:rPr>
          <w:rFonts w:ascii="微软雅黑" w:eastAsia="微软雅黑" w:hAnsi="微软雅黑" w:cs="宋体" w:hint="eastAsia"/>
          <w:color w:val="333333"/>
          <w:kern w:val="0"/>
          <w:sz w:val="32"/>
          <w:szCs w:val="32"/>
        </w:rPr>
        <w:br/>
      </w:r>
      <w:proofErr w:type="gramStart"/>
      <w:r>
        <w:rPr>
          <w:rFonts w:ascii="微软雅黑" w:eastAsia="微软雅黑" w:hAnsi="微软雅黑" w:cs="宋体" w:hint="eastAsia"/>
          <w:color w:val="333333"/>
          <w:kern w:val="0"/>
          <w:sz w:val="32"/>
          <w:szCs w:val="32"/>
          <w:shd w:val="clear" w:color="auto" w:fill="FFFFFF"/>
        </w:rPr>
        <w:t>各银监</w:t>
      </w:r>
      <w:proofErr w:type="gramEnd"/>
      <w:r>
        <w:rPr>
          <w:rFonts w:ascii="微软雅黑" w:eastAsia="微软雅黑" w:hAnsi="微软雅黑" w:cs="宋体" w:hint="eastAsia"/>
          <w:color w:val="333333"/>
          <w:kern w:val="0"/>
          <w:sz w:val="32"/>
          <w:szCs w:val="32"/>
          <w:shd w:val="clear" w:color="auto" w:fill="FFFFFF"/>
        </w:rPr>
        <w:t>局，各政策性银行、国有商业银行、股份制商业银行、金融资产管理公司，中国邮政储蓄银行，银监会直接监管的信托公司、企业集团财务公司、金融租赁公司，中央结算公司：</w:t>
      </w:r>
      <w:r>
        <w:rPr>
          <w:rFonts w:ascii="微软雅黑" w:eastAsia="微软雅黑" w:hAnsi="微软雅黑" w:cs="宋体" w:hint="eastAsia"/>
          <w:color w:val="333333"/>
          <w:kern w:val="0"/>
          <w:sz w:val="32"/>
          <w:szCs w:val="32"/>
        </w:rPr>
        <w:br/>
      </w:r>
      <w:r>
        <w:rPr>
          <w:rFonts w:ascii="微软雅黑" w:eastAsia="微软雅黑" w:hAnsi="微软雅黑" w:cs="宋体" w:hint="eastAsia"/>
          <w:color w:val="333333"/>
          <w:kern w:val="0"/>
          <w:sz w:val="32"/>
          <w:szCs w:val="32"/>
        </w:rPr>
        <w:t xml:space="preserve">    </w:t>
      </w:r>
      <w:r>
        <w:rPr>
          <w:rFonts w:ascii="微软雅黑" w:eastAsia="微软雅黑" w:hAnsi="微软雅黑" w:cs="宋体" w:hint="eastAsia"/>
          <w:color w:val="333333"/>
          <w:kern w:val="0"/>
          <w:sz w:val="32"/>
          <w:szCs w:val="32"/>
        </w:rPr>
        <w:t>为进一步规范银行业金融机构从业人员职业操守，提高从业人员职业道德和业务素质，促进我国银行业健康稳健发展，银监会在广泛征求意见基础上，对</w:t>
      </w:r>
      <w:r>
        <w:rPr>
          <w:rFonts w:ascii="微软雅黑" w:eastAsia="微软雅黑" w:hAnsi="微软雅黑" w:cs="宋体" w:hint="eastAsia"/>
          <w:color w:val="333333"/>
          <w:kern w:val="0"/>
          <w:sz w:val="32"/>
          <w:szCs w:val="32"/>
        </w:rPr>
        <w:t>2009</w:t>
      </w:r>
      <w:r>
        <w:rPr>
          <w:rFonts w:ascii="微软雅黑" w:eastAsia="微软雅黑" w:hAnsi="微软雅黑" w:cs="宋体" w:hint="eastAsia"/>
          <w:color w:val="333333"/>
          <w:kern w:val="0"/>
          <w:sz w:val="32"/>
          <w:szCs w:val="32"/>
        </w:rPr>
        <w:t>年</w:t>
      </w:r>
      <w:r>
        <w:rPr>
          <w:rFonts w:ascii="微软雅黑" w:eastAsia="微软雅黑" w:hAnsi="微软雅黑" w:cs="宋体" w:hint="eastAsia"/>
          <w:color w:val="333333"/>
          <w:kern w:val="0"/>
          <w:sz w:val="32"/>
          <w:szCs w:val="32"/>
        </w:rPr>
        <w:t>2</w:t>
      </w:r>
      <w:r>
        <w:rPr>
          <w:rFonts w:ascii="微软雅黑" w:eastAsia="微软雅黑" w:hAnsi="微软雅黑" w:cs="宋体" w:hint="eastAsia"/>
          <w:color w:val="333333"/>
          <w:kern w:val="0"/>
          <w:sz w:val="32"/>
          <w:szCs w:val="32"/>
        </w:rPr>
        <w:t>月印发的《银行业金融机构从业人员职业操守指引》</w:t>
      </w:r>
      <w:r>
        <w:rPr>
          <w:rFonts w:ascii="微软雅黑" w:eastAsia="微软雅黑" w:hAnsi="微软雅黑" w:cs="宋体" w:hint="eastAsia"/>
          <w:color w:val="333333"/>
          <w:kern w:val="0"/>
          <w:sz w:val="32"/>
          <w:szCs w:val="32"/>
        </w:rPr>
        <w:t>(</w:t>
      </w:r>
      <w:r>
        <w:rPr>
          <w:rFonts w:ascii="微软雅黑" w:eastAsia="微软雅黑" w:hAnsi="微软雅黑" w:cs="宋体" w:hint="eastAsia"/>
          <w:color w:val="333333"/>
          <w:kern w:val="0"/>
          <w:sz w:val="32"/>
          <w:szCs w:val="32"/>
        </w:rPr>
        <w:t>银监发</w:t>
      </w:r>
      <w:r>
        <w:rPr>
          <w:rFonts w:ascii="微软雅黑" w:eastAsia="微软雅黑" w:hAnsi="微软雅黑" w:cs="宋体" w:hint="eastAsia"/>
          <w:color w:val="333333"/>
          <w:kern w:val="0"/>
          <w:sz w:val="32"/>
          <w:szCs w:val="32"/>
        </w:rPr>
        <w:t>[2009]12</w:t>
      </w:r>
      <w:r>
        <w:rPr>
          <w:rFonts w:ascii="微软雅黑" w:eastAsia="微软雅黑" w:hAnsi="微软雅黑" w:cs="宋体" w:hint="eastAsia"/>
          <w:color w:val="333333"/>
          <w:kern w:val="0"/>
          <w:sz w:val="32"/>
          <w:szCs w:val="32"/>
        </w:rPr>
        <w:t>号，以下简称《指引》</w:t>
      </w:r>
      <w:r>
        <w:rPr>
          <w:rFonts w:ascii="微软雅黑" w:eastAsia="微软雅黑" w:hAnsi="微软雅黑" w:cs="宋体" w:hint="eastAsia"/>
          <w:color w:val="333333"/>
          <w:kern w:val="0"/>
          <w:sz w:val="32"/>
          <w:szCs w:val="32"/>
        </w:rPr>
        <w:t>)</w:t>
      </w:r>
      <w:r>
        <w:rPr>
          <w:rFonts w:ascii="微软雅黑" w:eastAsia="微软雅黑" w:hAnsi="微软雅黑" w:cs="宋体" w:hint="eastAsia"/>
          <w:color w:val="333333"/>
          <w:kern w:val="0"/>
          <w:sz w:val="32"/>
          <w:szCs w:val="32"/>
        </w:rPr>
        <w:t>进行了修订。现将修订后的《指引》印发给你们，请认真学习贯彻，执行中发现问题及时报告银监会。</w:t>
      </w:r>
    </w:p>
    <w:p w:rsidR="00A80F61" w:rsidRDefault="00BE102E">
      <w:pPr>
        <w:widowControl/>
        <w:shd w:val="clear" w:color="auto" w:fill="FFFFFF"/>
        <w:ind w:firstLineChars="0" w:firstLine="420"/>
        <w:jc w:val="right"/>
        <w:rPr>
          <w:rFonts w:ascii="微软雅黑" w:eastAsia="微软雅黑" w:hAnsi="微软雅黑" w:cs="宋体"/>
          <w:color w:val="333333"/>
          <w:kern w:val="0"/>
          <w:sz w:val="32"/>
          <w:szCs w:val="32"/>
        </w:rPr>
      </w:pPr>
      <w:r>
        <w:rPr>
          <w:rFonts w:ascii="微软雅黑" w:eastAsia="微软雅黑" w:hAnsi="微软雅黑" w:cs="宋体" w:hint="eastAsia"/>
          <w:color w:val="333333"/>
          <w:kern w:val="0"/>
          <w:sz w:val="32"/>
          <w:szCs w:val="32"/>
        </w:rPr>
        <w:t>中国银行业监督管理委员会</w:t>
      </w:r>
    </w:p>
    <w:p w:rsidR="00A80F61" w:rsidRDefault="00BE102E">
      <w:pPr>
        <w:widowControl/>
        <w:shd w:val="clear" w:color="auto" w:fill="FFFFFF"/>
        <w:ind w:firstLineChars="0" w:firstLine="420"/>
        <w:jc w:val="right"/>
        <w:rPr>
          <w:rFonts w:ascii="微软雅黑" w:eastAsia="微软雅黑" w:hAnsi="微软雅黑" w:cs="宋体"/>
          <w:color w:val="333333"/>
          <w:kern w:val="0"/>
          <w:sz w:val="17"/>
          <w:szCs w:val="17"/>
        </w:rPr>
      </w:pPr>
      <w:r>
        <w:rPr>
          <w:rFonts w:ascii="微软雅黑" w:eastAsia="微软雅黑" w:hAnsi="微软雅黑" w:cs="宋体" w:hint="eastAsia"/>
          <w:color w:val="333333"/>
          <w:kern w:val="0"/>
          <w:sz w:val="32"/>
          <w:szCs w:val="32"/>
        </w:rPr>
        <w:t>2011</w:t>
      </w:r>
      <w:r>
        <w:rPr>
          <w:rFonts w:ascii="微软雅黑" w:eastAsia="微软雅黑" w:hAnsi="微软雅黑" w:cs="宋体" w:hint="eastAsia"/>
          <w:color w:val="333333"/>
          <w:kern w:val="0"/>
          <w:sz w:val="32"/>
          <w:szCs w:val="32"/>
        </w:rPr>
        <w:t>年</w:t>
      </w:r>
      <w:r>
        <w:rPr>
          <w:rFonts w:ascii="微软雅黑" w:eastAsia="微软雅黑" w:hAnsi="微软雅黑" w:cs="宋体" w:hint="eastAsia"/>
          <w:color w:val="333333"/>
          <w:kern w:val="0"/>
          <w:sz w:val="32"/>
          <w:szCs w:val="32"/>
        </w:rPr>
        <w:t>1</w:t>
      </w:r>
      <w:r>
        <w:rPr>
          <w:rFonts w:ascii="微软雅黑" w:eastAsia="微软雅黑" w:hAnsi="微软雅黑" w:cs="宋体" w:hint="eastAsia"/>
          <w:color w:val="333333"/>
          <w:kern w:val="0"/>
          <w:sz w:val="32"/>
          <w:szCs w:val="32"/>
        </w:rPr>
        <w:t>月</w:t>
      </w:r>
      <w:r>
        <w:rPr>
          <w:rFonts w:ascii="微软雅黑" w:eastAsia="微软雅黑" w:hAnsi="微软雅黑" w:cs="宋体" w:hint="eastAsia"/>
          <w:color w:val="333333"/>
          <w:kern w:val="0"/>
          <w:sz w:val="32"/>
          <w:szCs w:val="32"/>
        </w:rPr>
        <w:t>12</w:t>
      </w:r>
      <w:r>
        <w:rPr>
          <w:rFonts w:ascii="微软雅黑" w:eastAsia="微软雅黑" w:hAnsi="微软雅黑" w:cs="宋体" w:hint="eastAsia"/>
          <w:color w:val="333333"/>
          <w:kern w:val="0"/>
          <w:sz w:val="32"/>
          <w:szCs w:val="32"/>
        </w:rPr>
        <w:t>日</w:t>
      </w:r>
    </w:p>
    <w:p w:rsidR="00A80F61" w:rsidRDefault="00BE102E">
      <w:pPr>
        <w:widowControl/>
        <w:shd w:val="clear" w:color="auto" w:fill="FFFFFF"/>
        <w:ind w:firstLineChars="0" w:firstLine="420"/>
        <w:jc w:val="left"/>
        <w:rPr>
          <w:rFonts w:ascii="微软雅黑" w:eastAsia="微软雅黑" w:hAnsi="微软雅黑" w:cs="宋体"/>
          <w:color w:val="333333"/>
          <w:kern w:val="0"/>
          <w:sz w:val="17"/>
          <w:szCs w:val="17"/>
        </w:rPr>
      </w:pPr>
      <w:r>
        <w:rPr>
          <w:rFonts w:ascii="微软雅黑" w:eastAsia="微软雅黑" w:hAnsi="微软雅黑" w:cs="宋体" w:hint="eastAsia"/>
          <w:color w:val="333333"/>
          <w:kern w:val="0"/>
          <w:sz w:val="17"/>
          <w:szCs w:val="17"/>
        </w:rPr>
        <w:t> </w:t>
      </w:r>
    </w:p>
    <w:p w:rsidR="00A80F61" w:rsidRDefault="00A80F61">
      <w:pPr>
        <w:widowControl/>
        <w:shd w:val="clear" w:color="auto" w:fill="FFFFFF"/>
        <w:ind w:firstLineChars="0" w:firstLine="420"/>
        <w:jc w:val="center"/>
        <w:rPr>
          <w:rFonts w:ascii="微软雅黑" w:eastAsia="微软雅黑" w:hAnsi="微软雅黑" w:cs="宋体"/>
          <w:color w:val="333333"/>
          <w:kern w:val="0"/>
          <w:sz w:val="17"/>
          <w:szCs w:val="17"/>
        </w:rPr>
      </w:pPr>
    </w:p>
    <w:p w:rsidR="00A80F61" w:rsidRDefault="00A80F61">
      <w:pPr>
        <w:widowControl/>
        <w:shd w:val="clear" w:color="auto" w:fill="FFFFFF"/>
        <w:ind w:firstLineChars="0" w:firstLine="420"/>
        <w:jc w:val="center"/>
        <w:rPr>
          <w:rFonts w:ascii="微软雅黑" w:eastAsia="微软雅黑" w:hAnsi="微软雅黑" w:cs="宋体"/>
          <w:color w:val="333333"/>
          <w:kern w:val="0"/>
          <w:sz w:val="17"/>
          <w:szCs w:val="17"/>
        </w:rPr>
      </w:pPr>
    </w:p>
    <w:p w:rsidR="00A80F61" w:rsidRDefault="00A80F61">
      <w:pPr>
        <w:widowControl/>
        <w:shd w:val="clear" w:color="auto" w:fill="FFFFFF"/>
        <w:ind w:firstLineChars="0" w:firstLine="420"/>
        <w:jc w:val="center"/>
        <w:rPr>
          <w:rFonts w:ascii="微软雅黑" w:eastAsia="微软雅黑" w:hAnsi="微软雅黑" w:cs="宋体"/>
          <w:color w:val="333333"/>
          <w:kern w:val="0"/>
          <w:sz w:val="17"/>
          <w:szCs w:val="17"/>
        </w:rPr>
      </w:pPr>
    </w:p>
    <w:p w:rsidR="00A80F61" w:rsidRDefault="00A80F61">
      <w:pPr>
        <w:widowControl/>
        <w:shd w:val="clear" w:color="auto" w:fill="FFFFFF"/>
        <w:ind w:firstLineChars="0" w:firstLine="420"/>
        <w:jc w:val="center"/>
        <w:rPr>
          <w:rFonts w:ascii="微软雅黑" w:eastAsia="微软雅黑" w:hAnsi="微软雅黑" w:cs="宋体"/>
          <w:color w:val="333333"/>
          <w:kern w:val="0"/>
          <w:sz w:val="17"/>
          <w:szCs w:val="17"/>
        </w:rPr>
      </w:pPr>
    </w:p>
    <w:p w:rsidR="00A80F61" w:rsidRDefault="00A80F61">
      <w:pPr>
        <w:widowControl/>
        <w:shd w:val="clear" w:color="auto" w:fill="FFFFFF"/>
        <w:ind w:firstLineChars="0" w:firstLine="420"/>
        <w:jc w:val="center"/>
        <w:rPr>
          <w:rFonts w:ascii="微软雅黑" w:eastAsia="微软雅黑" w:hAnsi="微软雅黑" w:cs="宋体"/>
          <w:color w:val="333333"/>
          <w:kern w:val="0"/>
          <w:sz w:val="17"/>
          <w:szCs w:val="17"/>
        </w:rPr>
      </w:pPr>
    </w:p>
    <w:p w:rsidR="00A80F61" w:rsidRDefault="00A80F61">
      <w:pPr>
        <w:widowControl/>
        <w:shd w:val="clear" w:color="auto" w:fill="FFFFFF"/>
        <w:ind w:firstLineChars="0" w:firstLine="420"/>
        <w:jc w:val="center"/>
        <w:rPr>
          <w:rFonts w:ascii="微软雅黑" w:eastAsia="微软雅黑" w:hAnsi="微软雅黑" w:cs="宋体"/>
          <w:color w:val="333333"/>
          <w:kern w:val="0"/>
          <w:sz w:val="17"/>
          <w:szCs w:val="17"/>
        </w:rPr>
      </w:pPr>
    </w:p>
    <w:p w:rsidR="00A80F61" w:rsidRDefault="00A80F61">
      <w:pPr>
        <w:widowControl/>
        <w:shd w:val="clear" w:color="auto" w:fill="FFFFFF"/>
        <w:ind w:firstLineChars="0" w:firstLine="420"/>
        <w:jc w:val="center"/>
        <w:rPr>
          <w:rFonts w:ascii="微软雅黑" w:eastAsia="微软雅黑" w:hAnsi="微软雅黑" w:cs="宋体"/>
          <w:color w:val="333333"/>
          <w:kern w:val="0"/>
          <w:sz w:val="17"/>
          <w:szCs w:val="17"/>
        </w:rPr>
      </w:pPr>
    </w:p>
    <w:p w:rsidR="00A80F61" w:rsidRDefault="00BE102E">
      <w:pPr>
        <w:widowControl/>
        <w:shd w:val="clear" w:color="auto" w:fill="FFFFFF"/>
        <w:ind w:firstLineChars="200" w:firstLine="720"/>
        <w:jc w:val="center"/>
        <w:rPr>
          <w:rFonts w:asciiTheme="minorEastAsia" w:hAnsiTheme="minorEastAsia" w:cstheme="minorEastAsia"/>
          <w:color w:val="333333"/>
          <w:kern w:val="0"/>
          <w:sz w:val="36"/>
          <w:szCs w:val="36"/>
        </w:rPr>
      </w:pPr>
      <w:r>
        <w:rPr>
          <w:rFonts w:asciiTheme="minorEastAsia" w:hAnsiTheme="minorEastAsia" w:cstheme="minorEastAsia" w:hint="eastAsia"/>
          <w:color w:val="333333"/>
          <w:kern w:val="0"/>
          <w:sz w:val="36"/>
          <w:szCs w:val="36"/>
        </w:rPr>
        <w:lastRenderedPageBreak/>
        <w:t>银行业金融机构从业人员职业操守指引</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 </w:t>
      </w:r>
    </w:p>
    <w:p w:rsidR="00A80F61" w:rsidRDefault="00BE102E" w:rsidP="00394EA2">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第一条　为规范银行业金融机构从业人员</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以下简称从业人员</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职业操守，提高从业人员职业道德和业务素质，维护银行业信誉，制定本指引。</w:t>
      </w:r>
    </w:p>
    <w:p w:rsidR="00A80F61" w:rsidRDefault="00BE102E" w:rsidP="00394EA2">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第二条　本指引所称从业人员是指按照《中华人民共和国劳动合同法》规定，与银行业金融机构签订劳动合同的在岗人员；银行业金融机构董</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理</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事会成员、监事会成员及高级管理人员；以及银行业金融机构聘用或与劳务代理机构签订协议直接从事金融业务的其他人员。</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第三条　本指引适用于在中华人民共和国境内的银行业金融机构</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含外资银行</w:t>
      </w:r>
      <w:proofErr w:type="gramStart"/>
      <w:r>
        <w:rPr>
          <w:rFonts w:asciiTheme="minorEastAsia" w:hAnsiTheme="minorEastAsia" w:cstheme="minorEastAsia" w:hint="eastAsia"/>
          <w:color w:val="333333"/>
          <w:kern w:val="0"/>
          <w:sz w:val="32"/>
          <w:szCs w:val="32"/>
        </w:rPr>
        <w:t>业金融</w:t>
      </w:r>
      <w:proofErr w:type="gramEnd"/>
      <w:r>
        <w:rPr>
          <w:rFonts w:asciiTheme="minorEastAsia" w:hAnsiTheme="minorEastAsia" w:cstheme="minorEastAsia" w:hint="eastAsia"/>
          <w:color w:val="333333"/>
          <w:kern w:val="0"/>
          <w:sz w:val="32"/>
          <w:szCs w:val="32"/>
        </w:rPr>
        <w:t>机构</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从业人员和境内银行业金融机构委派到国</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境</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外分支机构、控股、</w:t>
      </w:r>
      <w:r>
        <w:rPr>
          <w:rFonts w:asciiTheme="minorEastAsia" w:hAnsiTheme="minorEastAsia" w:cstheme="minorEastAsia" w:hint="eastAsia"/>
          <w:color w:val="333333"/>
          <w:kern w:val="0"/>
          <w:sz w:val="32"/>
          <w:szCs w:val="32"/>
        </w:rPr>
        <w:t>参股公司的从业人员。</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第四条　从业人员应当学法、懂法、守法，保守国家秘密和商业秘密，尊重和保护知识产权，自觉维护国家利益和金融安全。</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从业人员应当依法、客观、真实反映银行业金融机构业务信息。</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第五条　从业人员应当具备岗位任职资格或能力，熟练掌握业务技能，自觉遵守行业自律制度和本单位规章制度，</w:t>
      </w:r>
      <w:r>
        <w:rPr>
          <w:rFonts w:asciiTheme="minorEastAsia" w:hAnsiTheme="minorEastAsia" w:cstheme="minorEastAsia" w:hint="eastAsia"/>
          <w:color w:val="333333"/>
          <w:kern w:val="0"/>
          <w:sz w:val="32"/>
          <w:szCs w:val="32"/>
        </w:rPr>
        <w:lastRenderedPageBreak/>
        <w:t>合</w:t>
      </w:r>
      <w:proofErr w:type="gramStart"/>
      <w:r>
        <w:rPr>
          <w:rFonts w:asciiTheme="minorEastAsia" w:hAnsiTheme="minorEastAsia" w:cstheme="minorEastAsia" w:hint="eastAsia"/>
          <w:color w:val="333333"/>
          <w:kern w:val="0"/>
          <w:sz w:val="32"/>
          <w:szCs w:val="32"/>
        </w:rPr>
        <w:t>规</w:t>
      </w:r>
      <w:proofErr w:type="gramEnd"/>
      <w:r>
        <w:rPr>
          <w:rFonts w:asciiTheme="minorEastAsia" w:hAnsiTheme="minorEastAsia" w:cstheme="minorEastAsia" w:hint="eastAsia"/>
          <w:color w:val="333333"/>
          <w:kern w:val="0"/>
          <w:sz w:val="32"/>
          <w:szCs w:val="32"/>
        </w:rPr>
        <w:t>操作；对已发生的违法违规行为或尚未发生但存在潜在风险隐患的行为，应当按照相关报告制度规定，及时报告。</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第六条　从业人员应当遵循公平竞争、客户自愿原则，不得从事违规揽存、低价倾销、贬低同业、虚假宣传等不正当竞争行为。</w:t>
      </w:r>
      <w:r>
        <w:rPr>
          <w:rFonts w:asciiTheme="minorEastAsia" w:hAnsiTheme="minorEastAsia" w:cstheme="minorEastAsia" w:hint="eastAsia"/>
          <w:color w:val="333333"/>
          <w:kern w:val="0"/>
          <w:sz w:val="32"/>
          <w:szCs w:val="32"/>
        </w:rPr>
        <w:t> </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第七条　从业人员应当尊重客户，了解客户需求，依法保护客户权益和客户信息。</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从业人员应当对客户如实详细提示产品的特点和风险，切实保护客户权益；不得采取隐瞒或误导等不正当手段，损害客户权益。从业人员应当执行首问负责制，诚待客户，语言文明，举止大方，提供优质服务。</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从业人员不得因国籍、地区、肤色、民族、性别、年龄、宗教信仰、健康情况或其他因素等差异而歧视客户。</w:t>
      </w:r>
      <w:r>
        <w:rPr>
          <w:rFonts w:asciiTheme="minorEastAsia" w:hAnsiTheme="minorEastAsia" w:cstheme="minorEastAsia" w:hint="eastAsia"/>
          <w:color w:val="333333"/>
          <w:kern w:val="0"/>
          <w:sz w:val="32"/>
          <w:szCs w:val="32"/>
        </w:rPr>
        <w:t> </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第八条　从业人员应当关爱社会，积极参与公益活动，履行社会责任，发扬勤俭节约的优良传统，珍惜资源，抵制铺张浪费。</w:t>
      </w:r>
      <w:r>
        <w:rPr>
          <w:rFonts w:asciiTheme="minorEastAsia" w:hAnsiTheme="minorEastAsia" w:cstheme="minorEastAsia" w:hint="eastAsia"/>
          <w:color w:val="333333"/>
          <w:kern w:val="0"/>
          <w:sz w:val="32"/>
          <w:szCs w:val="32"/>
        </w:rPr>
        <w:t> </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第九条　从业人员应当公私分明，秉公办</w:t>
      </w:r>
      <w:r>
        <w:rPr>
          <w:rFonts w:asciiTheme="minorEastAsia" w:hAnsiTheme="minorEastAsia" w:cstheme="minorEastAsia" w:hint="eastAsia"/>
          <w:color w:val="333333"/>
          <w:kern w:val="0"/>
          <w:sz w:val="32"/>
          <w:szCs w:val="32"/>
        </w:rPr>
        <w:t>事，不得谋取非法利益。</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从业人员应当遵守国家和本单位防止利益冲突的规定，在办理授信、资信调查、融资等业务涉及本人、亲属或其他利益相关人时，主动汇报和提请工作回避。</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从业人员未经批准不得在其他经济组织兼职。</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lastRenderedPageBreak/>
        <w:t>从业人员应当有效识别现实或潜在的利益冲突，并及时向有关部门报告。</w:t>
      </w:r>
      <w:r>
        <w:rPr>
          <w:rFonts w:asciiTheme="minorEastAsia" w:hAnsiTheme="minorEastAsia" w:cstheme="minorEastAsia" w:hint="eastAsia"/>
          <w:color w:val="333333"/>
          <w:kern w:val="0"/>
          <w:sz w:val="32"/>
          <w:szCs w:val="32"/>
        </w:rPr>
        <w:t> </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第十条　从业人员应当遵守有关法律法规和本单位有关进行证券投资和其他投资的规定，不得利用内幕信息买卖资本市场产品；不得挪用本单位资金和客户资金或利用本人消费贷款买卖资本市场产品。</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第十一条　从业人员应当遵守禁止内幕交易的规定，不得利用内幕信</w:t>
      </w:r>
      <w:r>
        <w:rPr>
          <w:rFonts w:asciiTheme="minorEastAsia" w:hAnsiTheme="minorEastAsia" w:cstheme="minorEastAsia" w:hint="eastAsia"/>
          <w:color w:val="333333"/>
          <w:kern w:val="0"/>
          <w:sz w:val="32"/>
          <w:szCs w:val="32"/>
        </w:rPr>
        <w:t>息为自己或他人谋取利益，不得将内幕信息以明示或暗示的形式告知他人。</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从业人员应当拒绝洗钱，及时报告大额交易和可疑交易，履行反洗钱义务。</w:t>
      </w:r>
      <w:r>
        <w:rPr>
          <w:rFonts w:asciiTheme="minorEastAsia" w:hAnsiTheme="minorEastAsia" w:cstheme="minorEastAsia" w:hint="eastAsia"/>
          <w:color w:val="333333"/>
          <w:kern w:val="0"/>
          <w:sz w:val="32"/>
          <w:szCs w:val="32"/>
        </w:rPr>
        <w:t> </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第十二条　从业人员应当自觉抵制并积极向有关部门举报商业欺诈、非法集资、高利贷和黄、赌、毒活动。</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从业人员在社会交往和商业活动中，应当廉洁从业，自觉抵制商业贿赂及不正当交易行为。</w:t>
      </w:r>
      <w:r>
        <w:rPr>
          <w:rFonts w:asciiTheme="minorEastAsia" w:hAnsiTheme="minorEastAsia" w:cstheme="minorEastAsia" w:hint="eastAsia"/>
          <w:color w:val="333333"/>
          <w:kern w:val="0"/>
          <w:sz w:val="32"/>
          <w:szCs w:val="32"/>
        </w:rPr>
        <w:t> </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第十三条　从业人员应当树立终身学习理念，与时俱进，追求新知，提升素质，完善技能。</w:t>
      </w:r>
      <w:r>
        <w:rPr>
          <w:rFonts w:asciiTheme="minorEastAsia" w:hAnsiTheme="minorEastAsia" w:cstheme="minorEastAsia" w:hint="eastAsia"/>
          <w:color w:val="333333"/>
          <w:kern w:val="0"/>
          <w:sz w:val="32"/>
          <w:szCs w:val="32"/>
        </w:rPr>
        <w:t> </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第十四条　董</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理</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事会成员、监事会成员和高级管理人员除遵守第四条至第十三条所列内容外，还应当遵守以下职业操守。</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lastRenderedPageBreak/>
        <w:t>(</w:t>
      </w:r>
      <w:proofErr w:type="gramStart"/>
      <w:r>
        <w:rPr>
          <w:rFonts w:asciiTheme="minorEastAsia" w:hAnsiTheme="minorEastAsia" w:cstheme="minorEastAsia" w:hint="eastAsia"/>
          <w:color w:val="333333"/>
          <w:kern w:val="0"/>
          <w:sz w:val="32"/>
          <w:szCs w:val="32"/>
        </w:rPr>
        <w:t>一</w:t>
      </w:r>
      <w:proofErr w:type="gramEnd"/>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认真执行国家方针政策，恪守职业道德，服从国家宏观调控，维护大局。科学管理，公道正派，作风民主，坚持原则。</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二</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严格执行国家关于企业领导人员廉洁从业、“三重一大”决策制度等规定。</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三</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严格执行国家关于薪酬管理的法律法规和政策，负责制定本单位稳健的薪酬管理制度，并认真组织实施。</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四</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忠实履行决策、监督和经营管理职责，组织制定科学的发展战略，谨慎用权，防范风险。</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五</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以身作则，自觉遵守本指引并承担组织本单位从业人员学习、遵守本指引的责任。</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六</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知人善任，任人唯贤，关心员工职业生涯发展，培育团队意识。</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七</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适度参与公共活动，防止违法及不良行为，不得利用职务上的便利谋取或输送非法利益。</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八</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优化流程，精细管理，重点监控，明确本单位关键岗位特殊职业操守并组织关键岗位从业人员学习、遵守。</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第十五条　本指引是从业人员职业操守的标准要求。银行业金融机构和行业自律组织应当依照本指引制定或者修订本单位</w:t>
      </w:r>
      <w:r>
        <w:rPr>
          <w:rFonts w:asciiTheme="minorEastAsia" w:hAnsiTheme="minorEastAsia" w:cstheme="minorEastAsia" w:hint="eastAsia"/>
          <w:color w:val="333333"/>
          <w:kern w:val="0"/>
          <w:sz w:val="32"/>
          <w:szCs w:val="32"/>
        </w:rPr>
        <w:t> (</w:t>
      </w:r>
      <w:r>
        <w:rPr>
          <w:rFonts w:asciiTheme="minorEastAsia" w:hAnsiTheme="minorEastAsia" w:cstheme="minorEastAsia" w:hint="eastAsia"/>
          <w:color w:val="333333"/>
          <w:kern w:val="0"/>
          <w:sz w:val="32"/>
          <w:szCs w:val="32"/>
        </w:rPr>
        <w:t>行业</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员工具体职业行为规范。</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 </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lastRenderedPageBreak/>
        <w:t>第十六条　银行业金融机构应当将从业人员遵守本指引的情况纳入反腐倡廉建设、合</w:t>
      </w:r>
      <w:proofErr w:type="gramStart"/>
      <w:r>
        <w:rPr>
          <w:rFonts w:asciiTheme="minorEastAsia" w:hAnsiTheme="minorEastAsia" w:cstheme="minorEastAsia" w:hint="eastAsia"/>
          <w:color w:val="333333"/>
          <w:kern w:val="0"/>
          <w:sz w:val="32"/>
          <w:szCs w:val="32"/>
        </w:rPr>
        <w:t>规</w:t>
      </w:r>
      <w:proofErr w:type="gramEnd"/>
      <w:r>
        <w:rPr>
          <w:rFonts w:asciiTheme="minorEastAsia" w:hAnsiTheme="minorEastAsia" w:cstheme="minorEastAsia" w:hint="eastAsia"/>
          <w:color w:val="333333"/>
          <w:kern w:val="0"/>
          <w:sz w:val="32"/>
          <w:szCs w:val="32"/>
        </w:rPr>
        <w:t>和操作风险管理、员工教育培训和人力资源管</w:t>
      </w:r>
      <w:r>
        <w:rPr>
          <w:rFonts w:asciiTheme="minorEastAsia" w:hAnsiTheme="minorEastAsia" w:cstheme="minorEastAsia" w:hint="eastAsia"/>
          <w:color w:val="333333"/>
          <w:kern w:val="0"/>
          <w:sz w:val="32"/>
          <w:szCs w:val="32"/>
        </w:rPr>
        <w:t>理范围，定期评估，建立持续的评价和监督机制。</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第十七条　银行业金融机构应当将本指引和本单位员工职业行为规范以适当形式告知社会，接受监督。</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银行业金融机构应当对模范遵守本指引的从业人员给予奖励，对违反本指引的从业人员进行相应处置。</w:t>
      </w:r>
      <w:r>
        <w:rPr>
          <w:rFonts w:asciiTheme="minorEastAsia" w:hAnsiTheme="minorEastAsia" w:cstheme="minorEastAsia" w:hint="eastAsia"/>
          <w:color w:val="333333"/>
          <w:kern w:val="0"/>
          <w:sz w:val="32"/>
          <w:szCs w:val="32"/>
        </w:rPr>
        <w:t> </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第十八条　银行业监管机构应当将董</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理</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事会成员、监事会成员和高级管理人员执行本指引的情况纳入任职资格管理范围。</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第十九条　银行业协会、信托业协会及财务公司协会等行业自律组织，可以依据本指引对会员单位贯彻落实情况进行监督检查和评估。</w:t>
      </w:r>
    </w:p>
    <w:p w:rsidR="00A80F61" w:rsidRDefault="00BE102E">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第二十条　本指引由中国银监会负责解释和修订。</w:t>
      </w:r>
    </w:p>
    <w:p w:rsidR="00A80F61" w:rsidRDefault="00BE102E" w:rsidP="00394EA2">
      <w:pPr>
        <w:widowControl/>
        <w:shd w:val="clear" w:color="auto" w:fill="FFFFFF"/>
        <w:ind w:firstLineChars="200" w:firstLine="640"/>
        <w:jc w:val="left"/>
        <w:rPr>
          <w:rFonts w:asciiTheme="minorEastAsia" w:hAnsiTheme="minorEastAsia" w:cstheme="minorEastAsia"/>
          <w:sz w:val="32"/>
          <w:szCs w:val="32"/>
        </w:rPr>
      </w:pPr>
      <w:r>
        <w:rPr>
          <w:rFonts w:asciiTheme="minorEastAsia" w:hAnsiTheme="minorEastAsia" w:cstheme="minorEastAsia" w:hint="eastAsia"/>
          <w:color w:val="333333"/>
          <w:kern w:val="0"/>
          <w:sz w:val="32"/>
          <w:szCs w:val="32"/>
        </w:rPr>
        <w:t>第二十一条　本指引自公布之日起生效。《中国银行业监督管理委员会关于印发</w:t>
      </w:r>
      <w:r>
        <w:rPr>
          <w:rFonts w:asciiTheme="minorEastAsia" w:hAnsiTheme="minorEastAsia" w:cstheme="minorEastAsia" w:hint="eastAsia"/>
          <w:color w:val="333333"/>
          <w:kern w:val="0"/>
          <w:sz w:val="32"/>
          <w:szCs w:val="32"/>
        </w:rPr>
        <w:t>&lt;</w:t>
      </w:r>
      <w:r>
        <w:rPr>
          <w:rFonts w:asciiTheme="minorEastAsia" w:hAnsiTheme="minorEastAsia" w:cstheme="minorEastAsia" w:hint="eastAsia"/>
          <w:color w:val="333333"/>
          <w:kern w:val="0"/>
          <w:sz w:val="32"/>
          <w:szCs w:val="32"/>
        </w:rPr>
        <w:t>银行业金融机构从业人员职业操守指引</w:t>
      </w:r>
      <w:r>
        <w:rPr>
          <w:rFonts w:asciiTheme="minorEastAsia" w:hAnsiTheme="minorEastAsia" w:cstheme="minorEastAsia" w:hint="eastAsia"/>
          <w:color w:val="333333"/>
          <w:kern w:val="0"/>
          <w:sz w:val="32"/>
          <w:szCs w:val="32"/>
        </w:rPr>
        <w:t>&gt;</w:t>
      </w:r>
      <w:r>
        <w:rPr>
          <w:rFonts w:asciiTheme="minorEastAsia" w:hAnsiTheme="minorEastAsia" w:cstheme="minorEastAsia" w:hint="eastAsia"/>
          <w:color w:val="333333"/>
          <w:kern w:val="0"/>
          <w:sz w:val="32"/>
          <w:szCs w:val="32"/>
        </w:rPr>
        <w:t>的通知》</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银监发</w:t>
      </w:r>
      <w:r>
        <w:rPr>
          <w:rFonts w:asciiTheme="minorEastAsia" w:hAnsiTheme="minorEastAsia" w:cstheme="minorEastAsia" w:hint="eastAsia"/>
          <w:color w:val="333333"/>
          <w:kern w:val="0"/>
          <w:sz w:val="32"/>
          <w:szCs w:val="32"/>
        </w:rPr>
        <w:t>[2009]12</w:t>
      </w:r>
      <w:r>
        <w:rPr>
          <w:rFonts w:asciiTheme="minorEastAsia" w:hAnsiTheme="minorEastAsia" w:cstheme="minorEastAsia" w:hint="eastAsia"/>
          <w:color w:val="333333"/>
          <w:kern w:val="0"/>
          <w:sz w:val="32"/>
          <w:szCs w:val="32"/>
        </w:rPr>
        <w:t>号</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同时废止。</w:t>
      </w:r>
      <w:bookmarkStart w:id="0" w:name="_GoBack"/>
      <w:bookmarkEnd w:id="0"/>
      <w:r>
        <w:rPr>
          <w:rFonts w:asciiTheme="minorEastAsia" w:hAnsiTheme="minorEastAsia" w:cstheme="minorEastAsia" w:hint="eastAsia"/>
          <w:color w:val="333333"/>
          <w:kern w:val="0"/>
          <w:sz w:val="32"/>
          <w:szCs w:val="32"/>
        </w:rPr>
        <w:t> </w:t>
      </w:r>
    </w:p>
    <w:sectPr w:rsidR="00A80F6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02E" w:rsidRDefault="00BE102E" w:rsidP="00394EA2">
      <w:pPr>
        <w:ind w:firstLine="105"/>
      </w:pPr>
      <w:r>
        <w:separator/>
      </w:r>
    </w:p>
  </w:endnote>
  <w:endnote w:type="continuationSeparator" w:id="0">
    <w:p w:rsidR="00BE102E" w:rsidRDefault="00BE102E" w:rsidP="00394EA2">
      <w:pPr>
        <w:ind w:firstLine="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EA2" w:rsidRDefault="00394EA2" w:rsidP="00394EA2">
    <w:pPr>
      <w:pStyle w:val="a6"/>
      <w:ind w:firstLine="9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EA2" w:rsidRDefault="00394EA2" w:rsidP="00394EA2">
    <w:pPr>
      <w:pStyle w:val="a6"/>
      <w:ind w:firstLine="9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EA2" w:rsidRDefault="00394EA2" w:rsidP="00394EA2">
    <w:pPr>
      <w:pStyle w:val="a6"/>
      <w:ind w:firstLine="9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02E" w:rsidRDefault="00BE102E" w:rsidP="00394EA2">
      <w:pPr>
        <w:ind w:firstLine="105"/>
      </w:pPr>
      <w:r>
        <w:separator/>
      </w:r>
    </w:p>
  </w:footnote>
  <w:footnote w:type="continuationSeparator" w:id="0">
    <w:p w:rsidR="00BE102E" w:rsidRDefault="00BE102E" w:rsidP="00394EA2">
      <w:pPr>
        <w:ind w:firstLine="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EA2" w:rsidRDefault="00394EA2" w:rsidP="00394EA2">
    <w:pPr>
      <w:pStyle w:val="a5"/>
      <w:ind w:firstLine="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EA2" w:rsidRDefault="00394EA2" w:rsidP="00394EA2">
    <w:pPr>
      <w:pStyle w:val="a5"/>
      <w:ind w:firstLine="9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EA2" w:rsidRDefault="00394EA2" w:rsidP="00394EA2">
    <w:pPr>
      <w:pStyle w:val="a5"/>
      <w:ind w:firstLine="9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13BB2"/>
    <w:rsid w:val="00394EA2"/>
    <w:rsid w:val="00413BB2"/>
    <w:rsid w:val="004E2014"/>
    <w:rsid w:val="009940AD"/>
    <w:rsid w:val="00A44825"/>
    <w:rsid w:val="00A80F61"/>
    <w:rsid w:val="00BE102E"/>
    <w:rsid w:val="63862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ind w:firstLineChars="50" w:firstLine="5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ind w:firstLineChars="0" w:firstLine="0"/>
      <w:jc w:val="left"/>
    </w:pPr>
    <w:rPr>
      <w:rFonts w:ascii="宋体" w:eastAsia="宋体" w:hAnsi="宋体" w:cs="宋体"/>
      <w:kern w:val="0"/>
      <w:sz w:val="24"/>
      <w:szCs w:val="24"/>
    </w:rPr>
  </w:style>
  <w:style w:type="character" w:styleId="a4">
    <w:name w:val="Strong"/>
    <w:basedOn w:val="a0"/>
    <w:uiPriority w:val="22"/>
    <w:qFormat/>
    <w:rPr>
      <w:b/>
      <w:bCs/>
    </w:rPr>
  </w:style>
  <w:style w:type="paragraph" w:styleId="a5">
    <w:name w:val="header"/>
    <w:basedOn w:val="a"/>
    <w:link w:val="Char"/>
    <w:uiPriority w:val="99"/>
    <w:unhideWhenUsed/>
    <w:rsid w:val="00394E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94EA2"/>
    <w:rPr>
      <w:kern w:val="2"/>
      <w:sz w:val="18"/>
      <w:szCs w:val="18"/>
    </w:rPr>
  </w:style>
  <w:style w:type="paragraph" w:styleId="a6">
    <w:name w:val="footer"/>
    <w:basedOn w:val="a"/>
    <w:link w:val="Char0"/>
    <w:uiPriority w:val="99"/>
    <w:unhideWhenUsed/>
    <w:rsid w:val="00394EA2"/>
    <w:pPr>
      <w:tabs>
        <w:tab w:val="center" w:pos="4153"/>
        <w:tab w:val="right" w:pos="8306"/>
      </w:tabs>
      <w:snapToGrid w:val="0"/>
      <w:jc w:val="left"/>
    </w:pPr>
    <w:rPr>
      <w:sz w:val="18"/>
      <w:szCs w:val="18"/>
    </w:rPr>
  </w:style>
  <w:style w:type="character" w:customStyle="1" w:styleId="Char0">
    <w:name w:val="页脚 Char"/>
    <w:basedOn w:val="a0"/>
    <w:link w:val="a6"/>
    <w:uiPriority w:val="99"/>
    <w:rsid w:val="00394EA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365</Words>
  <Characters>2081</Characters>
  <Application>Microsoft Office Word</Application>
  <DocSecurity>0</DocSecurity>
  <Lines>17</Lines>
  <Paragraphs>4</Paragraphs>
  <ScaleCrop>false</ScaleCrop>
  <Company>微软中国</Company>
  <LinksUpToDate>false</LinksUpToDate>
  <CharactersWithSpaces>2442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赵圣婴</cp:lastModifiedBy>
  <cp:revision>2</cp:revision>
  <dcterms:created xsi:type="dcterms:W3CDTF">2020-08-24T05:01:00Z</dcterms:created>
  <dcterms:modified xsi:type="dcterms:W3CDTF">2020-09-03T08:18:00Z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